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E0" w:rsidRPr="00DF0EDE" w:rsidRDefault="00D605E0" w:rsidP="00D605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</w:pP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>
        <w:rPr>
          <w:rFonts w:eastAsia="Times New Roman"/>
          <w:noProof/>
          <w:sz w:val="24"/>
          <w:szCs w:val="24"/>
          <w:lang w:eastAsia="hr-HR"/>
        </w:rPr>
        <w:drawing>
          <wp:inline distT="0" distB="0" distL="0" distR="0">
            <wp:extent cx="413385" cy="564515"/>
            <wp:effectExtent l="1905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605E0" w:rsidRPr="00E50B6C" w:rsidRDefault="00D605E0" w:rsidP="00D605E0">
      <w:pPr>
        <w:framePr w:hSpace="181" w:wrap="auto" w:vAnchor="text" w:hAnchor="page" w:x="2916" w:y="1" w:anchorLock="1"/>
        <w:spacing w:after="0" w:line="240" w:lineRule="auto"/>
        <w:rPr>
          <w:rFonts w:eastAsia="Times New Roman"/>
          <w:sz w:val="24"/>
          <w:szCs w:val="24"/>
        </w:rPr>
      </w:pPr>
    </w:p>
    <w:p w:rsidR="00D605E0" w:rsidRPr="00DF0EDE" w:rsidRDefault="00D605E0" w:rsidP="00D605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pacing w:val="22"/>
          <w:position w:val="6"/>
          <w:sz w:val="24"/>
          <w:szCs w:val="24"/>
          <w:lang w:eastAsia="hr-HR"/>
        </w:rPr>
      </w:pP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  <w:t xml:space="preserve">                   </w:t>
      </w:r>
      <w:r w:rsidRPr="00DF0EDE">
        <w:rPr>
          <w:rFonts w:ascii="Times New Roman" w:eastAsia="Times New Roman" w:hAnsi="Times New Roman"/>
          <w:spacing w:val="22"/>
          <w:position w:val="6"/>
          <w:sz w:val="24"/>
          <w:szCs w:val="24"/>
          <w:lang w:eastAsia="hr-HR"/>
        </w:rPr>
        <w:t>-Prijedlog-</w:t>
      </w:r>
      <w:r w:rsidRPr="00DF0EDE">
        <w:rPr>
          <w:rFonts w:ascii="Times New Roman" w:eastAsia="Times New Roman" w:hAnsi="Times New Roman"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Cs w:val="20"/>
          <w:lang w:eastAsia="hr-HR"/>
        </w:rPr>
        <w:tab/>
      </w:r>
      <w:r w:rsidRPr="00DF0EDE">
        <w:rPr>
          <w:rFonts w:ascii="Times New Roman" w:eastAsia="Times New Roman" w:hAnsi="Times New Roman"/>
          <w:b/>
          <w:spacing w:val="22"/>
          <w:position w:val="6"/>
          <w:szCs w:val="20"/>
          <w:lang w:eastAsia="hr-HR"/>
        </w:rPr>
        <w:tab/>
      </w:r>
    </w:p>
    <w:p w:rsidR="00D605E0" w:rsidRPr="00DF0EDE" w:rsidRDefault="00D605E0" w:rsidP="00D605E0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</w:pPr>
      <w:r w:rsidRPr="00DF0EDE">
        <w:rPr>
          <w:rFonts w:ascii="Times New Roman" w:eastAsia="Times New Roman" w:hAnsi="Times New Roman"/>
          <w:b/>
          <w:spacing w:val="22"/>
          <w:position w:val="6"/>
          <w:sz w:val="24"/>
          <w:szCs w:val="24"/>
          <w:lang w:eastAsia="hr-HR"/>
        </w:rPr>
        <w:t xml:space="preserve">    REPUBLIKA HRVATSKA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DF0EDE">
        <w:rPr>
          <w:rFonts w:ascii="Times New Roman" w:eastAsia="Times New Roman" w:hAnsi="Times New Roman"/>
          <w:b/>
          <w:sz w:val="24"/>
          <w:szCs w:val="24"/>
        </w:rPr>
        <w:t>GRAD BAKAR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DF0EDE">
        <w:rPr>
          <w:rFonts w:ascii="Times New Roman" w:eastAsia="Times New Roman" w:hAnsi="Times New Roman"/>
          <w:b/>
          <w:sz w:val="24"/>
          <w:szCs w:val="24"/>
        </w:rPr>
        <w:t>GRADSKO VIJEĆE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 xml:space="preserve">KLASA: 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 xml:space="preserve">URBROJ: </w:t>
      </w:r>
    </w:p>
    <w:p w:rsidR="00D605E0" w:rsidRPr="00DF0EDE" w:rsidRDefault="00D605E0" w:rsidP="00D605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F0EDE">
        <w:rPr>
          <w:rFonts w:ascii="Times New Roman" w:eastAsia="Times New Roman" w:hAnsi="Times New Roman"/>
          <w:sz w:val="24"/>
          <w:szCs w:val="24"/>
        </w:rPr>
        <w:t>Bakar,  ____________2014. god.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14. Zakona o zaštiti od požara</w:t>
      </w:r>
      <w:r w:rsidRPr="00DF0EDE">
        <w:rPr>
          <w:rFonts w:ascii="Times New Roman" w:hAnsi="Times New Roman"/>
          <w:sz w:val="24"/>
          <w:szCs w:val="24"/>
        </w:rPr>
        <w:t xml:space="preserve"> (»Narodne novine« broj </w:t>
      </w:r>
      <w:r>
        <w:rPr>
          <w:rFonts w:ascii="Times New Roman" w:hAnsi="Times New Roman"/>
          <w:sz w:val="24"/>
          <w:szCs w:val="24"/>
        </w:rPr>
        <w:t xml:space="preserve">92/10.) </w:t>
      </w:r>
      <w:r w:rsidRPr="00DF0EDE">
        <w:rPr>
          <w:rFonts w:ascii="Times New Roman" w:hAnsi="Times New Roman"/>
          <w:sz w:val="24"/>
          <w:szCs w:val="24"/>
        </w:rPr>
        <w:t>i članka 30. Statuta Grada Bakra (»Službene novine Primorsko-goranske županije« bro</w:t>
      </w:r>
      <w:r>
        <w:rPr>
          <w:rFonts w:ascii="Times New Roman" w:hAnsi="Times New Roman"/>
          <w:sz w:val="24"/>
          <w:szCs w:val="24"/>
        </w:rPr>
        <w:t>j 25/09., 37/09., 7/13., 44/13.</w:t>
      </w:r>
      <w:r w:rsidRPr="00DF0EDE">
        <w:rPr>
          <w:rFonts w:ascii="Times New Roman" w:hAnsi="Times New Roman"/>
          <w:sz w:val="24"/>
          <w:szCs w:val="24"/>
        </w:rPr>
        <w:t>) Gradsko vijeće Grada Bakra na sjednici održanoj dana __________ 2014. godine, donosi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ODLUKU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o obavljanju dimnjačarskih poslova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I. OPĆE ODREDBE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</w:t>
      </w:r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Ovom se Odlukom u svrhu zaštite života ljudi i imovine od požara uređuje organizacija i način rada dimnjačarskih poslova kao komunalne djelatnosti, rokovi čišćenja i kontrole dimnjaka i uređaja za loženje te nadzor nad obavljanjem dimnjačarskih poslova na području Grada Bakra (u daljnjem tekstu: Grad).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Odredbe ove Odluke ne primjenjuju se na industrijske i druge objekte koji imaju vlastite uređaje za čišćenje dimnjaka.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2.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Pod obavljanjem dimnjačarskih poslova razumijeva se: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-provjera ispravnosti i funkcioniranja dimnjaka i uređaja za loženje,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-obavljanje redovnih i izvanrednih pregleda dimnjaka i uređaja za loženje,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-čišćenje dimnjaka i uređaja za loženje,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-poduzimanje mjera za sprječavanje opasnosti od požara, eksplozija, trovanja te zagađivanja zraka, kako ne bi nastupile štetne posljedice zbog neispravnosti dimnjaka i uređaja za loženje.</w:t>
      </w: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Pod dimnjakom, u smislu ove Odluke, smatra se </w:t>
      </w:r>
      <w:proofErr w:type="spellStart"/>
      <w:r w:rsidRPr="00DF0EDE">
        <w:rPr>
          <w:rFonts w:ascii="Times New Roman" w:hAnsi="Times New Roman"/>
          <w:sz w:val="24"/>
          <w:szCs w:val="24"/>
        </w:rPr>
        <w:t>usponski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EDE">
        <w:rPr>
          <w:rFonts w:ascii="Times New Roman" w:hAnsi="Times New Roman"/>
          <w:sz w:val="24"/>
          <w:szCs w:val="24"/>
        </w:rPr>
        <w:t>dimovodni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 kanal, sabirnica čađe, priključna cijev uređaja za loženje, uređaj ili otvor za opskrbu zrakom za izgaranje i odvod dimnih plinova i drugi dijelovi dimnjaka.</w:t>
      </w: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II. ORGANIZACIJA I NAČIN OBAVLJANJA DIMNJAČARSKIH POSLOVA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3.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Dimnjačarske poslove može obavljati pravna osoba i fizička osoba - obrtnik koja je registrirana za obavljanje te djelatnosti i ima zaposlene osobe koje su stručno osposobljene za obavljanje dimnjačarskih poslova.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4.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Dimnjačarske poslove obavljaju pravne i fizičke osobe - obrtnici (u daljnjem tekstu: Koncesionar) na temelju ugovora o koncesiji za obavljanje dimnjačarskih poslova sklopljenog s Gradom kao davateljem koncesije.</w:t>
      </w: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ne može prenijeti koncesiju na drugu osobu.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nad izvršavanjem ugovora o koncesiji obavlja nadležno upravno tijelo Grada.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5.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Postupak donošenja odluke o dodjeli koncesije i zaključivanje ugovora o koncesiji za obavljanje dimnjačars</w:t>
      </w:r>
      <w:r>
        <w:rPr>
          <w:rFonts w:ascii="Times New Roman" w:hAnsi="Times New Roman"/>
          <w:sz w:val="24"/>
          <w:szCs w:val="24"/>
        </w:rPr>
        <w:t>kih poslova na području Grada s k</w:t>
      </w:r>
      <w:r w:rsidRPr="00DF0EDE">
        <w:rPr>
          <w:rFonts w:ascii="Times New Roman" w:hAnsi="Times New Roman"/>
          <w:sz w:val="24"/>
          <w:szCs w:val="24"/>
        </w:rPr>
        <w:t>oncesionarom provodi se sukladno važećem Zakonu o koncesijama, Zakonu o komunalnom gospodarstvu i Odluci o komunalnim djelatnostima na području Grada</w:t>
      </w:r>
      <w:r>
        <w:rPr>
          <w:rFonts w:ascii="Times New Roman" w:hAnsi="Times New Roman"/>
          <w:sz w:val="24"/>
          <w:szCs w:val="24"/>
        </w:rPr>
        <w:t xml:space="preserve"> Bakra</w:t>
      </w:r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6.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Dimnjačarski poslovi obavljaju se na dimnjačarskom području Grada, koje obuhvaća naselja: Bakar, </w:t>
      </w:r>
      <w:proofErr w:type="spellStart"/>
      <w:r w:rsidRPr="00DF0EDE">
        <w:rPr>
          <w:rFonts w:ascii="Times New Roman" w:hAnsi="Times New Roman"/>
          <w:sz w:val="24"/>
          <w:szCs w:val="24"/>
        </w:rPr>
        <w:t>Hreljin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0EDE">
        <w:rPr>
          <w:rFonts w:ascii="Times New Roman" w:hAnsi="Times New Roman"/>
          <w:sz w:val="24"/>
          <w:szCs w:val="24"/>
        </w:rPr>
        <w:t>Krasica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0EDE">
        <w:rPr>
          <w:rFonts w:ascii="Times New Roman" w:hAnsi="Times New Roman"/>
          <w:sz w:val="24"/>
          <w:szCs w:val="24"/>
        </w:rPr>
        <w:t>Kukuljanovo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0EDE">
        <w:rPr>
          <w:rFonts w:ascii="Times New Roman" w:hAnsi="Times New Roman"/>
          <w:sz w:val="24"/>
          <w:szCs w:val="24"/>
        </w:rPr>
        <w:t>Plosna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, Ponikve, </w:t>
      </w:r>
      <w:proofErr w:type="spellStart"/>
      <w:r w:rsidRPr="00DF0EDE">
        <w:rPr>
          <w:rFonts w:ascii="Times New Roman" w:hAnsi="Times New Roman"/>
          <w:sz w:val="24"/>
          <w:szCs w:val="24"/>
        </w:rPr>
        <w:t>Praputnjak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0EDE">
        <w:rPr>
          <w:rFonts w:ascii="Times New Roman" w:hAnsi="Times New Roman"/>
          <w:sz w:val="24"/>
          <w:szCs w:val="24"/>
        </w:rPr>
        <w:t>Škrljevo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F0EDE">
        <w:rPr>
          <w:rFonts w:ascii="Times New Roman" w:hAnsi="Times New Roman"/>
          <w:sz w:val="24"/>
          <w:szCs w:val="24"/>
        </w:rPr>
        <w:t>Zlobin</w:t>
      </w:r>
      <w:proofErr w:type="spellEnd"/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7.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obavlja dimnjačarske poslove na temelju godišnjeg plana obaveznog redovitog pregleda i čišćenja dimnjaka.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Plan obaveznog redovitog pregleda i čišćenja dimnjaka obuhvaća redoslijed obavljanja dimnjačarskih usluga po naseljima, ulicama i kućnim brojevima.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Koncesionar je dužan plan iz stavka 1. ovog članka sačiniti najkasnije do 31. kolovoza tekuće godine u kojoj počinje ogrjevna sezona i dostaviti ga </w:t>
      </w:r>
      <w:r>
        <w:rPr>
          <w:rFonts w:ascii="Times New Roman" w:hAnsi="Times New Roman"/>
          <w:sz w:val="24"/>
          <w:szCs w:val="24"/>
        </w:rPr>
        <w:t>nadležnom upravnom tijelu Grada</w:t>
      </w:r>
      <w:r w:rsidRPr="00DF0EDE">
        <w:rPr>
          <w:rFonts w:ascii="Times New Roman" w:hAnsi="Times New Roman"/>
          <w:sz w:val="24"/>
          <w:szCs w:val="24"/>
        </w:rPr>
        <w:t xml:space="preserve">. 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8.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Vlasnici odnosno korisnici zgrada, stanova, poslovnih prostora, objekata i postrojenja (u daljnjem tekstu: Korisnik usluge) dužni su voditi brigu da se uređaji za loženje i dimnjaci redovito čiste i održavaju u ispravnom stanju sukladno ovoj Odluci i pozitivnim propisima.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usluge dužan je k</w:t>
      </w:r>
      <w:r w:rsidRPr="00DF0EDE">
        <w:rPr>
          <w:rFonts w:ascii="Times New Roman" w:hAnsi="Times New Roman"/>
          <w:sz w:val="24"/>
          <w:szCs w:val="24"/>
        </w:rPr>
        <w:t>oncesionaru: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-omogućiti pregled i čišćenje dimnjaka i uređaja za loženje koji podliježu obaveznom čišćenju i kontroli prema ovoj Odluci,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-dati podatak o broju i vrsti uređaja za loženje i dimnjaka te o sezoni loženja,</w:t>
      </w:r>
    </w:p>
    <w:p w:rsidR="00D605E0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-omogućiti pristup svakom uređaju za loženje i dimnjaku koji se koristi.</w:t>
      </w:r>
    </w:p>
    <w:p w:rsidR="00D605E0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9.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Koncesionar je dužan k</w:t>
      </w:r>
      <w:r w:rsidRPr="00DF0EDE">
        <w:rPr>
          <w:rFonts w:ascii="Times New Roman" w:hAnsi="Times New Roman"/>
          <w:sz w:val="24"/>
          <w:szCs w:val="24"/>
        </w:rPr>
        <w:t>orisnika usluga obavije</w:t>
      </w:r>
      <w:r>
        <w:rPr>
          <w:rFonts w:ascii="Times New Roman" w:hAnsi="Times New Roman"/>
          <w:sz w:val="24"/>
          <w:szCs w:val="24"/>
        </w:rPr>
        <w:t>stiti o danu i vremenu čišćenja te u tu svrhu i izvjesiti na vidnom mjestu u naseljima</w:t>
      </w:r>
      <w:r w:rsidRPr="00DF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dimnjačarskom području Grada</w:t>
      </w:r>
      <w:r w:rsidRPr="00DF0EDE">
        <w:rPr>
          <w:rFonts w:ascii="Times New Roman" w:hAnsi="Times New Roman"/>
          <w:sz w:val="24"/>
          <w:szCs w:val="24"/>
        </w:rPr>
        <w:t xml:space="preserve">, te na oglasnoj ploči </w:t>
      </w:r>
      <w:r>
        <w:rPr>
          <w:rFonts w:ascii="Times New Roman" w:hAnsi="Times New Roman"/>
          <w:sz w:val="24"/>
          <w:szCs w:val="24"/>
        </w:rPr>
        <w:t>Gradske uprave</w:t>
      </w:r>
      <w:r w:rsidRPr="00DF0EDE">
        <w:rPr>
          <w:rFonts w:ascii="Times New Roman" w:hAnsi="Times New Roman"/>
          <w:sz w:val="24"/>
          <w:szCs w:val="24"/>
        </w:rPr>
        <w:t>, odno</w:t>
      </w:r>
      <w:r>
        <w:rPr>
          <w:rFonts w:ascii="Times New Roman" w:hAnsi="Times New Roman"/>
          <w:sz w:val="24"/>
          <w:szCs w:val="24"/>
        </w:rPr>
        <w:t>sno na drugom prikladnom mjestu</w:t>
      </w:r>
      <w:r w:rsidRPr="00DF0EDE">
        <w:rPr>
          <w:rFonts w:ascii="Times New Roman" w:hAnsi="Times New Roman"/>
          <w:sz w:val="24"/>
          <w:szCs w:val="24"/>
        </w:rPr>
        <w:t xml:space="preserve"> pismenu obavijest najmanje tri dana prije vršenja dimnjačarskih usluga.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10.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usluge ne smije k</w:t>
      </w:r>
      <w:r w:rsidRPr="00DF0EDE">
        <w:rPr>
          <w:rFonts w:ascii="Times New Roman" w:hAnsi="Times New Roman"/>
          <w:sz w:val="24"/>
          <w:szCs w:val="24"/>
        </w:rPr>
        <w:t>oncesionaru sprječavati pristup do mjesta za čišćenje i pregled dimnjaka i uređaja za loženje niti ga ometati u obavljanju dimnjačarskih poslova.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Radi ispravnog pregleda i čišćenja dimnjaka pristup do vratašca, priključaka, kape dimnjaka i ostalih dijelova dimnjaka mora uvijek biti slobodan.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11.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je dužan uslugu čišćenja obaviti po pravilima struke.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Štetu koju prouzroči kod čišćenja koja nastane nestručnim radom dužan je nadoknaditi korisniku</w:t>
      </w:r>
      <w:r>
        <w:rPr>
          <w:rFonts w:ascii="Times New Roman" w:hAnsi="Times New Roman"/>
          <w:sz w:val="24"/>
          <w:szCs w:val="24"/>
        </w:rPr>
        <w:t xml:space="preserve"> usluge</w:t>
      </w:r>
      <w:r w:rsidRPr="00DF0EDE">
        <w:rPr>
          <w:rFonts w:ascii="Times New Roman" w:hAnsi="Times New Roman"/>
          <w:sz w:val="24"/>
          <w:szCs w:val="24"/>
        </w:rPr>
        <w:t xml:space="preserve">, odnosno vlasniku </w:t>
      </w:r>
      <w:proofErr w:type="spellStart"/>
      <w:r w:rsidRPr="00DF0EDE">
        <w:rPr>
          <w:rFonts w:ascii="Times New Roman" w:hAnsi="Times New Roman"/>
          <w:sz w:val="24"/>
          <w:szCs w:val="24"/>
        </w:rPr>
        <w:t>dimovodnog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 objekta.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obavljenog čišćenja k</w:t>
      </w:r>
      <w:r w:rsidRPr="00DF0EDE">
        <w:rPr>
          <w:rFonts w:ascii="Times New Roman" w:hAnsi="Times New Roman"/>
          <w:sz w:val="24"/>
          <w:szCs w:val="24"/>
        </w:rPr>
        <w:t>oncesionar je dužan ukloniti sav nakupljeni materijal nastao čišćenjem, što se osobito odnosi na uklanjanje čađe koja pada u ložište, sabiralište ili oko dimnjaka.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12.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4E1E0D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E1E0D">
        <w:rPr>
          <w:rFonts w:ascii="Times New Roman" w:hAnsi="Times New Roman"/>
          <w:sz w:val="24"/>
          <w:szCs w:val="24"/>
        </w:rPr>
        <w:t>Ako koncesionar po izvršenom čišćenju utvrdi da na dimnjaku i/ili uređaju za loženje ne postoje nedostaci, dužan je korisniku usluge izdati potvrdu o ispravnosti dimnjaka i/ili uređaja za loženje.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Ako Koncesionar utvrdi da na dimnjaku i/ili uređaju za loženje postoje nedostaci, </w:t>
      </w:r>
      <w:r>
        <w:rPr>
          <w:rFonts w:ascii="Times New Roman" w:hAnsi="Times New Roman"/>
          <w:sz w:val="24"/>
          <w:szCs w:val="24"/>
        </w:rPr>
        <w:t>pismeno će o tome obavijestiti k</w:t>
      </w:r>
      <w:r w:rsidRPr="00DF0EDE">
        <w:rPr>
          <w:rFonts w:ascii="Times New Roman" w:hAnsi="Times New Roman"/>
          <w:sz w:val="24"/>
          <w:szCs w:val="24"/>
        </w:rPr>
        <w:t xml:space="preserve">orisnika usluge i upravitelja zgrade ako ga zgrada ima i pozvati ih da uklone nedostatke u roku koji ne može biti duži od </w:t>
      </w:r>
      <w:r>
        <w:rPr>
          <w:rFonts w:ascii="Times New Roman" w:hAnsi="Times New Roman"/>
          <w:sz w:val="24"/>
          <w:szCs w:val="24"/>
        </w:rPr>
        <w:t>tri</w:t>
      </w:r>
      <w:r w:rsidRPr="00DF0EDE">
        <w:rPr>
          <w:rFonts w:ascii="Times New Roman" w:hAnsi="Times New Roman"/>
          <w:sz w:val="24"/>
          <w:szCs w:val="24"/>
        </w:rPr>
        <w:t xml:space="preserve"> mjeseca.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je dužan</w:t>
      </w:r>
      <w:r>
        <w:rPr>
          <w:rFonts w:ascii="Times New Roman" w:hAnsi="Times New Roman"/>
          <w:sz w:val="24"/>
          <w:szCs w:val="24"/>
        </w:rPr>
        <w:t xml:space="preserve"> utvrđene nedostatke iz stavka 2</w:t>
      </w:r>
      <w:r w:rsidRPr="00DF0EDE">
        <w:rPr>
          <w:rFonts w:ascii="Times New Roman" w:hAnsi="Times New Roman"/>
          <w:sz w:val="24"/>
          <w:szCs w:val="24"/>
        </w:rPr>
        <w:t>. ovog članka evidentirati u evidenciji o pregledu i čišćenju dimnjaka.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Ako korisnik</w:t>
      </w:r>
      <w:r>
        <w:rPr>
          <w:rFonts w:ascii="Times New Roman" w:hAnsi="Times New Roman"/>
          <w:sz w:val="24"/>
          <w:szCs w:val="24"/>
        </w:rPr>
        <w:t xml:space="preserve"> usluge</w:t>
      </w:r>
      <w:r w:rsidRPr="00DF0EDE">
        <w:rPr>
          <w:rFonts w:ascii="Times New Roman" w:hAnsi="Times New Roman"/>
          <w:sz w:val="24"/>
          <w:szCs w:val="24"/>
        </w:rPr>
        <w:t xml:space="preserve"> ne otkloni nedostatke u zadanom roku, a ako se radi o nedostacima na </w:t>
      </w:r>
      <w:proofErr w:type="spellStart"/>
      <w:r w:rsidRPr="00DF0EDE">
        <w:rPr>
          <w:rFonts w:ascii="Times New Roman" w:hAnsi="Times New Roman"/>
          <w:sz w:val="24"/>
          <w:szCs w:val="24"/>
        </w:rPr>
        <w:t>dimovodnom</w:t>
      </w:r>
      <w:proofErr w:type="spellEnd"/>
      <w:r w:rsidRPr="00DF0EDE">
        <w:rPr>
          <w:rFonts w:ascii="Times New Roman" w:hAnsi="Times New Roman"/>
          <w:sz w:val="24"/>
          <w:szCs w:val="24"/>
        </w:rPr>
        <w:t xml:space="preserve"> objektu na koji je priključeno plinsko ložište, </w:t>
      </w:r>
      <w:r>
        <w:rPr>
          <w:rFonts w:ascii="Times New Roman" w:hAnsi="Times New Roman"/>
          <w:sz w:val="24"/>
          <w:szCs w:val="24"/>
        </w:rPr>
        <w:t>koncesionar</w:t>
      </w:r>
      <w:r w:rsidRPr="00DF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DF0EDE"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sz w:val="24"/>
          <w:szCs w:val="24"/>
        </w:rPr>
        <w:t>očenim nedostacima dužan</w:t>
      </w:r>
      <w:r w:rsidRPr="00DF0EDE">
        <w:rPr>
          <w:rFonts w:ascii="Times New Roman" w:hAnsi="Times New Roman"/>
          <w:sz w:val="24"/>
          <w:szCs w:val="24"/>
        </w:rPr>
        <w:t xml:space="preserve"> pismeno obavijestiti policijskog inspektora zaštite od požara i eksploziva i distributera plina radi zatvaranja plina do otklanjanja nedostataka. 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Ako Koncesionar utvrdi postojanje neposredne opasnosti za živote ljudi i imovinu koji mogu nastati daljnjom upotrebom dimn</w:t>
      </w:r>
      <w:r>
        <w:rPr>
          <w:rFonts w:ascii="Times New Roman" w:hAnsi="Times New Roman"/>
          <w:sz w:val="24"/>
          <w:szCs w:val="24"/>
        </w:rPr>
        <w:t>jaka i/ili uređaja za loženje, koncesionar će k</w:t>
      </w:r>
      <w:r w:rsidRPr="00DF0EDE">
        <w:rPr>
          <w:rFonts w:ascii="Times New Roman" w:hAnsi="Times New Roman"/>
          <w:sz w:val="24"/>
          <w:szCs w:val="24"/>
        </w:rPr>
        <w:t>orisniku usluge pismeno zabraniti daljnje korištenje dimnjaka i/</w:t>
      </w:r>
      <w:r>
        <w:rPr>
          <w:rFonts w:ascii="Times New Roman" w:hAnsi="Times New Roman"/>
          <w:sz w:val="24"/>
          <w:szCs w:val="24"/>
        </w:rPr>
        <w:t>ili uređaja za loženje, što je k</w:t>
      </w:r>
      <w:r w:rsidRPr="00DF0EDE">
        <w:rPr>
          <w:rFonts w:ascii="Times New Roman" w:hAnsi="Times New Roman"/>
          <w:sz w:val="24"/>
          <w:szCs w:val="24"/>
        </w:rPr>
        <w:t>orisnik usluge dužan poštivati, o čemu ć</w:t>
      </w:r>
      <w:r>
        <w:rPr>
          <w:rFonts w:ascii="Times New Roman" w:hAnsi="Times New Roman"/>
          <w:sz w:val="24"/>
          <w:szCs w:val="24"/>
        </w:rPr>
        <w:t>e koncesionar odmah obavijestiti</w:t>
      </w:r>
      <w:r w:rsidRPr="00DF0EDE">
        <w:rPr>
          <w:rFonts w:ascii="Times New Roman" w:hAnsi="Times New Roman"/>
          <w:sz w:val="24"/>
          <w:szCs w:val="24"/>
        </w:rPr>
        <w:t xml:space="preserve"> nadležno inspekcijsko tijelo.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13.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je dužan za područje na kojem obavlja dimnjačarske poslove voditi evidenciju o pregledu i čišćenju dimnjaka, te o izvođenju radova kojima se dimnjak zadržava ili vraća u stanje određeno projektom građevine.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lastRenderedPageBreak/>
        <w:t>Evidencija iz stavka 1. ovog članka se vodi za svaku zgradu posebno, odnosno za više zgrada u dimnjačarskom području, a sadrži: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-oznaku zgrade - ime naselja (ulica) i kućni broj,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-ime i prezime k</w:t>
      </w:r>
      <w:r w:rsidRPr="00DF0EDE">
        <w:rPr>
          <w:rFonts w:ascii="Times New Roman" w:hAnsi="Times New Roman"/>
          <w:sz w:val="24"/>
          <w:szCs w:val="24"/>
        </w:rPr>
        <w:t>orisnika usluge te naziv upravitelja zgrade,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-broj i oznaku dimnjaka koji se pregledavaju i čiste,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-datum obavljanja dimnjačar</w:t>
      </w:r>
      <w:r>
        <w:rPr>
          <w:rFonts w:ascii="Times New Roman" w:hAnsi="Times New Roman"/>
          <w:sz w:val="24"/>
          <w:szCs w:val="24"/>
        </w:rPr>
        <w:t>s</w:t>
      </w:r>
      <w:r w:rsidRPr="00DF0EDE">
        <w:rPr>
          <w:rFonts w:ascii="Times New Roman" w:hAnsi="Times New Roman"/>
          <w:sz w:val="24"/>
          <w:szCs w:val="24"/>
        </w:rPr>
        <w:t>kih poslova i nalaz,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-vrstu i datum izvođenja radova na dimnjaku,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-potpis dimnjačara,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-potpis k</w:t>
      </w:r>
      <w:r w:rsidRPr="00DF0EDE">
        <w:rPr>
          <w:rFonts w:ascii="Times New Roman" w:hAnsi="Times New Roman"/>
          <w:sz w:val="24"/>
          <w:szCs w:val="24"/>
        </w:rPr>
        <w:t>orisnika usluge kao potvrdu obavljenih dimnjačarskih poslova.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Koncesionar je dužan evidencijski list o pregledu i čišćenju dimnjaka dostaviti nadležnom upravnom </w:t>
      </w:r>
      <w:r>
        <w:rPr>
          <w:rFonts w:ascii="Times New Roman" w:hAnsi="Times New Roman"/>
          <w:sz w:val="24"/>
          <w:szCs w:val="24"/>
        </w:rPr>
        <w:t xml:space="preserve">tijelu Grada </w:t>
      </w:r>
      <w:r w:rsidRPr="00DF0EDE">
        <w:rPr>
          <w:rFonts w:ascii="Times New Roman" w:hAnsi="Times New Roman"/>
          <w:sz w:val="24"/>
          <w:szCs w:val="24"/>
        </w:rPr>
        <w:t>jednom mjesečno.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14.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Koncesionar je dužan voditi kartoteku dimnjaka koja sadrži kartone dimnjaka.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U kartoteku dimnjaka unose se sljedeći podaci: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-oznaka zgrade - ime naselja (ulica) i kućni broj,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-ime i prezime k</w:t>
      </w:r>
      <w:r w:rsidRPr="00DF0EDE">
        <w:rPr>
          <w:rFonts w:ascii="Times New Roman" w:hAnsi="Times New Roman"/>
          <w:sz w:val="24"/>
          <w:szCs w:val="24"/>
        </w:rPr>
        <w:t>orisnika usluge te naziv upravitelja zgrade,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-broj i vrsta dimnjaka, te vrstu goriva koje se koristi,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-oznaka dimnjaka koji se pregledava i čisti,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-datum obavljanja dimnjačarskih pos</w:t>
      </w:r>
      <w:r>
        <w:rPr>
          <w:rFonts w:ascii="Times New Roman" w:hAnsi="Times New Roman"/>
          <w:sz w:val="24"/>
          <w:szCs w:val="24"/>
        </w:rPr>
        <w:t>lova.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Kartoteka dimnjaka vodi se u elektroničkom obliku i jednom godišnje, najkasnije do 30. rujna tekuće godine dostavlja se nadležnom upravnom </w:t>
      </w:r>
      <w:r>
        <w:rPr>
          <w:rFonts w:ascii="Times New Roman" w:hAnsi="Times New Roman"/>
          <w:sz w:val="24"/>
          <w:szCs w:val="24"/>
        </w:rPr>
        <w:t>tijelu</w:t>
      </w:r>
      <w:r w:rsidRPr="00DF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15.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Ovlašteni su dimnjačari dužni, jednom godišnje, do početka ogrjevne sezone, o promjeni broja i vrste dimnjaka na svom dimnjačar</w:t>
      </w:r>
      <w:r>
        <w:rPr>
          <w:rFonts w:ascii="Times New Roman" w:hAnsi="Times New Roman"/>
          <w:sz w:val="24"/>
          <w:szCs w:val="24"/>
        </w:rPr>
        <w:t>s</w:t>
      </w:r>
      <w:r w:rsidRPr="00DF0EDE">
        <w:rPr>
          <w:rFonts w:ascii="Times New Roman" w:hAnsi="Times New Roman"/>
          <w:sz w:val="24"/>
          <w:szCs w:val="24"/>
        </w:rPr>
        <w:t xml:space="preserve">kom području podnijeti izvješće nadležnom upravnom </w:t>
      </w:r>
      <w:r>
        <w:rPr>
          <w:rFonts w:ascii="Times New Roman" w:hAnsi="Times New Roman"/>
          <w:sz w:val="24"/>
          <w:szCs w:val="24"/>
        </w:rPr>
        <w:t>tijelu</w:t>
      </w:r>
      <w:r w:rsidRPr="00DF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Ogrjevna sezona traje od 1. listopada tekuće godine do 30. travnja sljedeće godine.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16.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Cijenu usluge za obavljanje dimnjačarskih poslova koncesionaru plaća korisnik usluge</w:t>
      </w:r>
      <w:r w:rsidRPr="00DF0EDE"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Članak 17.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6A429B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Ugovorom o koncesiji za obavljanje dimnjačar</w:t>
      </w:r>
      <w:r>
        <w:rPr>
          <w:rFonts w:ascii="Times New Roman" w:hAnsi="Times New Roman"/>
          <w:sz w:val="24"/>
          <w:szCs w:val="24"/>
        </w:rPr>
        <w:t>skih poslova između k</w:t>
      </w:r>
      <w:r w:rsidRPr="00DF0EDE">
        <w:rPr>
          <w:rFonts w:ascii="Times New Roman" w:hAnsi="Times New Roman"/>
          <w:sz w:val="24"/>
          <w:szCs w:val="24"/>
        </w:rPr>
        <w:t xml:space="preserve">oncesionara i Grada određuje se </w:t>
      </w:r>
      <w:r>
        <w:rPr>
          <w:rFonts w:ascii="Times New Roman" w:hAnsi="Times New Roman"/>
          <w:sz w:val="24"/>
          <w:szCs w:val="24"/>
        </w:rPr>
        <w:t>cjenik usluga</w:t>
      </w:r>
      <w:r w:rsidRPr="00DF0EDE">
        <w:rPr>
          <w:rFonts w:ascii="Times New Roman" w:hAnsi="Times New Roman"/>
          <w:sz w:val="24"/>
          <w:szCs w:val="24"/>
        </w:rPr>
        <w:t xml:space="preserve"> dimnjačarskih poslova.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III. ROKOVI ČIŠĆENJA I KONTROLE DIMNJAKA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18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U svrhu održavanja</w:t>
      </w:r>
      <w:r>
        <w:rPr>
          <w:rFonts w:ascii="Times New Roman" w:hAnsi="Times New Roman"/>
          <w:sz w:val="24"/>
          <w:szCs w:val="24"/>
        </w:rPr>
        <w:t xml:space="preserve"> dimnjaka i uređaja za loženje k</w:t>
      </w:r>
      <w:r w:rsidRPr="00DF0EDE">
        <w:rPr>
          <w:rFonts w:ascii="Times New Roman" w:hAnsi="Times New Roman"/>
          <w:sz w:val="24"/>
          <w:szCs w:val="24"/>
        </w:rPr>
        <w:t>oncesionar provodi obavezne redovite i izvanredne preglede i čišćenja.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19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lastRenderedPageBreak/>
        <w:t>Redoviti pregledi u svrhu održavanja dimnjaka provode se na način određen projektom građevine i tehničkim propisima, a najmanje jednom godišnje.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Redoviti pregled uključuje najmanje: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-vizualni pregled, u koji je uključeno utvrđivanje položaja i veličine pukotina te drugih oštećenja bitnih za očuvanje tehničkih svojstava dimnjaka,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-tlačnu probu u slučaju sumnje,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-usklađenost uređaja za loženje i dimnjaka.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Na način utvrđen u stavku 2. ovog članka obavlja se i izvanredni pregled dimnjaka prije prve upotrebe uređaja za loženje, odnosno prije ponovne uporabe ako dimnjak nije bio u uporabi dulje od godinu dana.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Prilikom pregleda dimnjaka, dimnjak se obavezno čisti na način koji je primjeren vrsti dimnjaka (mehanički i/ili na drugi način).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20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Izvanredni pregled dimnjaka obavezno se provodi prije svake promjene uređaja </w:t>
      </w:r>
      <w:r>
        <w:rPr>
          <w:rFonts w:ascii="Times New Roman" w:hAnsi="Times New Roman"/>
          <w:sz w:val="24"/>
          <w:szCs w:val="24"/>
        </w:rPr>
        <w:t xml:space="preserve">za loženje ili promjene goriva </w:t>
      </w:r>
      <w:r w:rsidRPr="00DF0EDE">
        <w:rPr>
          <w:rFonts w:ascii="Times New Roman" w:hAnsi="Times New Roman"/>
          <w:sz w:val="24"/>
          <w:szCs w:val="24"/>
        </w:rPr>
        <w:t>i nakon svakog izvanrednog događaja koji može utjecati na tehnička svojstva dimnjaka ili izaziva sumnju u uporabljivost dimnjaka, o če</w:t>
      </w:r>
      <w:r>
        <w:rPr>
          <w:rFonts w:ascii="Times New Roman" w:hAnsi="Times New Roman"/>
          <w:sz w:val="24"/>
          <w:szCs w:val="24"/>
        </w:rPr>
        <w:t>mu je k</w:t>
      </w:r>
      <w:r w:rsidRPr="00DF0EDE">
        <w:rPr>
          <w:rFonts w:ascii="Times New Roman" w:hAnsi="Times New Roman"/>
          <w:sz w:val="24"/>
          <w:szCs w:val="24"/>
        </w:rPr>
        <w:t>ori</w:t>
      </w:r>
      <w:r>
        <w:rPr>
          <w:rFonts w:ascii="Times New Roman" w:hAnsi="Times New Roman"/>
          <w:sz w:val="24"/>
          <w:szCs w:val="24"/>
        </w:rPr>
        <w:t>snik usluge dužan obavijestiti k</w:t>
      </w:r>
      <w:r w:rsidRPr="00DF0EDE">
        <w:rPr>
          <w:rFonts w:ascii="Times New Roman" w:hAnsi="Times New Roman"/>
          <w:sz w:val="24"/>
          <w:szCs w:val="24"/>
        </w:rPr>
        <w:t>oncesionara, te po zahtjevu nadzornog inspekcijskog tijela.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21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Pregled i čišćenje dimnjaka i uređaja za loženje izvodi se sukladno tehničkim normama i pravilima struke, a u svrhu provođenja zaštite od požara i očuvanja okoliša.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Pregled i čišćenje dimnjaka i uređaja za loženje obavlja se najmanje jednom godišnje, a po potrebi i češće, ovisno o vrsti i namjeni uređaja za loženje, vrsti goriva, te stvarnom vremenu rada uređaja za loženje.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Kod tehnološki specifičnih postrojenja za grijanje koja mogu održavati samo ovlašteni serviseri prema garantnim i drugi</w:t>
      </w:r>
      <w:r>
        <w:rPr>
          <w:rFonts w:ascii="Times New Roman" w:hAnsi="Times New Roman"/>
          <w:sz w:val="24"/>
          <w:szCs w:val="24"/>
        </w:rPr>
        <w:t>m uvjetima postoji samo obveza k</w:t>
      </w:r>
      <w:r w:rsidRPr="00DF0EDE">
        <w:rPr>
          <w:rFonts w:ascii="Times New Roman" w:hAnsi="Times New Roman"/>
          <w:sz w:val="24"/>
          <w:szCs w:val="24"/>
        </w:rPr>
        <w:t>oncesionara da jednom godišnje kontrolira da se ona redovito održavaju.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Dimnjaci i uređaji za loženje koji se ne upotrebljavaju u dužim vremenskim razmacima ne podliježu odredbama ovog članka o obaveznom čišćenju, već se njihovo čišćenj</w:t>
      </w:r>
      <w:r>
        <w:rPr>
          <w:rFonts w:ascii="Times New Roman" w:hAnsi="Times New Roman"/>
          <w:sz w:val="24"/>
          <w:szCs w:val="24"/>
        </w:rPr>
        <w:t>e vrši po pozivu i dogovoru sa k</w:t>
      </w:r>
      <w:r w:rsidRPr="00DF0EDE">
        <w:rPr>
          <w:rFonts w:ascii="Times New Roman" w:hAnsi="Times New Roman"/>
          <w:sz w:val="24"/>
          <w:szCs w:val="24"/>
        </w:rPr>
        <w:t>oncesionarom.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22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Pored redovitih i izvanrednih obaveznih pregleda, čišćenje dimnjaka i uređaja za ložen</w:t>
      </w:r>
      <w:r>
        <w:rPr>
          <w:rFonts w:ascii="Times New Roman" w:hAnsi="Times New Roman"/>
          <w:sz w:val="24"/>
          <w:szCs w:val="24"/>
        </w:rPr>
        <w:t>je obavlja se i na zahtjev k</w:t>
      </w:r>
      <w:r w:rsidRPr="00DF0EDE">
        <w:rPr>
          <w:rFonts w:ascii="Times New Roman" w:hAnsi="Times New Roman"/>
          <w:sz w:val="24"/>
          <w:szCs w:val="24"/>
        </w:rPr>
        <w:t>orisnika usluga i iz</w:t>
      </w:r>
      <w:r>
        <w:rPr>
          <w:rFonts w:ascii="Times New Roman" w:hAnsi="Times New Roman"/>
          <w:sz w:val="24"/>
          <w:szCs w:val="24"/>
        </w:rPr>
        <w:t>van rokova navedenih u članku 21</w:t>
      </w:r>
      <w:r w:rsidRPr="00DF0EDE">
        <w:rPr>
          <w:rFonts w:ascii="Times New Roman" w:hAnsi="Times New Roman"/>
          <w:sz w:val="24"/>
          <w:szCs w:val="24"/>
        </w:rPr>
        <w:t>. ove Odluke.</w:t>
      </w:r>
    </w:p>
    <w:p w:rsidR="00D605E0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IV. NADZOR</w:t>
      </w:r>
    </w:p>
    <w:p w:rsidR="00D605E0" w:rsidRPr="00DF0EDE" w:rsidRDefault="00D605E0" w:rsidP="00D605E0">
      <w:pPr>
        <w:pStyle w:val="Bezproreda"/>
        <w:rPr>
          <w:rFonts w:ascii="Times New Roman" w:hAnsi="Times New Roman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Članka 23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Nadležno upravno tijelo Grada ovlašteno je</w:t>
      </w:r>
      <w:r w:rsidRPr="00DF0EDE">
        <w:rPr>
          <w:rFonts w:ascii="Times New Roman" w:hAnsi="Times New Roman" w:cs="Times New Roman"/>
        </w:rPr>
        <w:t xml:space="preserve">: </w:t>
      </w:r>
    </w:p>
    <w:p w:rsidR="00D605E0" w:rsidRPr="00DF0EDE" w:rsidRDefault="00D605E0" w:rsidP="00D605E0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t xml:space="preserve">- kontrolirati rad dimnjačara </w:t>
      </w:r>
      <w:r>
        <w:rPr>
          <w:rFonts w:ascii="Times New Roman" w:hAnsi="Times New Roman" w:cs="Times New Roman"/>
        </w:rPr>
        <w:t>na adekvatan način</w:t>
      </w:r>
      <w:r w:rsidRPr="00DF0EDE">
        <w:rPr>
          <w:rFonts w:ascii="Times New Roman" w:hAnsi="Times New Roman" w:cs="Times New Roman"/>
        </w:rPr>
        <w:t xml:space="preserve">, </w:t>
      </w:r>
    </w:p>
    <w:p w:rsidR="00D605E0" w:rsidRPr="00DF0EDE" w:rsidRDefault="00D605E0" w:rsidP="00D605E0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t xml:space="preserve">- narediti obavljanje dimnjačarskih radova, ako utvrdi da ih ovlašteni dimnjačar ne obavlja ili ih ne obavlja potpuno, </w:t>
      </w:r>
    </w:p>
    <w:p w:rsidR="00D605E0" w:rsidRPr="00DF0EDE" w:rsidRDefault="00D605E0" w:rsidP="00D605E0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t xml:space="preserve">- zabraniti neovlašteno obavljanje dimnjačarskih radova, </w:t>
      </w:r>
    </w:p>
    <w:p w:rsidR="00D605E0" w:rsidRPr="00DF0EDE" w:rsidRDefault="00D605E0" w:rsidP="00D605E0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lastRenderedPageBreak/>
        <w:t xml:space="preserve">- kontrolirati vođenje evidencije o pregledu i čišćenju dimnjaka i kartoteke </w:t>
      </w:r>
      <w:proofErr w:type="spellStart"/>
      <w:r w:rsidRPr="00DF0EDE">
        <w:rPr>
          <w:rFonts w:ascii="Times New Roman" w:hAnsi="Times New Roman" w:cs="Times New Roman"/>
        </w:rPr>
        <w:t>dimovodnih</w:t>
      </w:r>
      <w:proofErr w:type="spellEnd"/>
      <w:r w:rsidRPr="00DF0EDE">
        <w:rPr>
          <w:rFonts w:ascii="Times New Roman" w:hAnsi="Times New Roman" w:cs="Times New Roman"/>
        </w:rPr>
        <w:t xml:space="preserve"> objekata, </w:t>
      </w:r>
    </w:p>
    <w:p w:rsidR="00D605E0" w:rsidRPr="00DF0EDE" w:rsidRDefault="00D605E0" w:rsidP="00D605E0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t xml:space="preserve">- pokrenuti prekršajni postupak, izricati i naplaćivati novčane kazne, </w:t>
      </w:r>
    </w:p>
    <w:p w:rsidR="00D605E0" w:rsidRDefault="00D605E0" w:rsidP="00D605E0">
      <w:pPr>
        <w:pStyle w:val="Default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 w:cs="Times New Roman"/>
        </w:rPr>
        <w:t xml:space="preserve">- poduzimati i druge propisane mjere. </w:t>
      </w:r>
    </w:p>
    <w:p w:rsidR="00D605E0" w:rsidRPr="0057585C" w:rsidRDefault="00D605E0" w:rsidP="00D605E0">
      <w:pPr>
        <w:pStyle w:val="Default"/>
        <w:jc w:val="both"/>
        <w:rPr>
          <w:rFonts w:ascii="Times New Roman" w:hAnsi="Times New Roman" w:cs="Times New Roman"/>
        </w:rPr>
      </w:pPr>
      <w:r w:rsidRPr="00DF0EDE">
        <w:rPr>
          <w:rFonts w:ascii="Times New Roman" w:hAnsi="Times New Roman"/>
          <w:b/>
        </w:rPr>
        <w:t>V. KAZNENE ODREDBE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24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Pravna osoba kaznit će se za prekršaj novčanom kaznom: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</w:t>
      </w:r>
      <w:r>
        <w:rPr>
          <w:rFonts w:ascii="Times New Roman" w:hAnsi="Times New Roman"/>
          <w:sz w:val="24"/>
          <w:szCs w:val="24"/>
        </w:rPr>
        <w:t>znosu od 5.000,00 kuna ako kao k</w:t>
      </w:r>
      <w:r w:rsidRPr="00DF0EDE">
        <w:rPr>
          <w:rFonts w:ascii="Times New Roman" w:hAnsi="Times New Roman"/>
          <w:sz w:val="24"/>
          <w:szCs w:val="24"/>
        </w:rPr>
        <w:t>orisnik usluge ne p</w:t>
      </w:r>
      <w:r>
        <w:rPr>
          <w:rFonts w:ascii="Times New Roman" w:hAnsi="Times New Roman"/>
          <w:sz w:val="24"/>
          <w:szCs w:val="24"/>
        </w:rPr>
        <w:t>ostupi po članku 12. i članku 20. ove Odluke, odnosno ako kao k</w:t>
      </w:r>
      <w:r w:rsidRPr="00DF0EDE">
        <w:rPr>
          <w:rFonts w:ascii="Times New Roman" w:hAnsi="Times New Roman"/>
          <w:sz w:val="24"/>
          <w:szCs w:val="24"/>
        </w:rPr>
        <w:t xml:space="preserve">oncesionar ne postupi po članku 7., 9., </w:t>
      </w:r>
      <w:r>
        <w:rPr>
          <w:rFonts w:ascii="Times New Roman" w:hAnsi="Times New Roman"/>
          <w:sz w:val="24"/>
          <w:szCs w:val="24"/>
        </w:rPr>
        <w:t>11., 13., 14., 19., 20. i 21</w:t>
      </w:r>
      <w:r w:rsidRPr="00DF0EDE">
        <w:rPr>
          <w:rFonts w:ascii="Times New Roman" w:hAnsi="Times New Roman"/>
          <w:sz w:val="24"/>
          <w:szCs w:val="24"/>
        </w:rPr>
        <w:t>. ove Odluke,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iznosu od 10.000,00 ku</w:t>
      </w:r>
      <w:r>
        <w:rPr>
          <w:rFonts w:ascii="Times New Roman" w:hAnsi="Times New Roman"/>
          <w:sz w:val="24"/>
          <w:szCs w:val="24"/>
        </w:rPr>
        <w:t xml:space="preserve">na ako </w:t>
      </w:r>
      <w:r w:rsidRPr="00DF0EDE">
        <w:rPr>
          <w:rFonts w:ascii="Times New Roman" w:hAnsi="Times New Roman"/>
          <w:sz w:val="24"/>
          <w:szCs w:val="24"/>
        </w:rPr>
        <w:t>ne postupi po članku 8. i 10. ove Odluke i ako dimnjačarske poslove obavlja protivno odredbi članka 4. ove Odluke.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Odgovorna osoba u pravnoj osobi koja počini prekršaj iz stavka 1. ovog članka kaznit će se novčanom kaznom u iznosu od 1.000,00 kuna.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25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Fizička osoba-obrtnik i osoba koja obavlja drugu samostalnu djelatnost kaznit će se za prekršaj novčanom kaznom: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iznosu od 3.000,00 kuna ako kao Koncesionar ne postupi po čl</w:t>
      </w:r>
      <w:r>
        <w:rPr>
          <w:rFonts w:ascii="Times New Roman" w:hAnsi="Times New Roman"/>
          <w:sz w:val="24"/>
          <w:szCs w:val="24"/>
        </w:rPr>
        <w:t>anku 7., 9., 11., 13., 14., 19., 20. i 21</w:t>
      </w:r>
      <w:r w:rsidRPr="00DF0EDE">
        <w:rPr>
          <w:rFonts w:ascii="Times New Roman" w:hAnsi="Times New Roman"/>
          <w:sz w:val="24"/>
          <w:szCs w:val="24"/>
        </w:rPr>
        <w:t>. ove Odluke,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iznosu od 5.000,00 kuna ako dimnjačarske poslove obavlja protiv</w:t>
      </w:r>
      <w:r>
        <w:rPr>
          <w:rFonts w:ascii="Times New Roman" w:hAnsi="Times New Roman"/>
          <w:sz w:val="24"/>
          <w:szCs w:val="24"/>
        </w:rPr>
        <w:t>no odredbi članka 4. ove Odluke.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26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Fizička osoba kaznit će se novčanom kaznom za prekršaj: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iznosu od 500,00 kuna ako kao korisnik usluge ne p</w:t>
      </w:r>
      <w:r>
        <w:rPr>
          <w:rFonts w:ascii="Times New Roman" w:hAnsi="Times New Roman"/>
          <w:sz w:val="24"/>
          <w:szCs w:val="24"/>
        </w:rPr>
        <w:t>ostupi po članku 12. i članku 20</w:t>
      </w:r>
      <w:r w:rsidRPr="00DF0E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ove Odluke</w:t>
      </w:r>
      <w:r w:rsidRPr="00DF0EDE">
        <w:rPr>
          <w:rFonts w:ascii="Times New Roman" w:hAnsi="Times New Roman"/>
          <w:sz w:val="24"/>
          <w:szCs w:val="24"/>
        </w:rPr>
        <w:t>,</w:t>
      </w: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- u i</w:t>
      </w:r>
      <w:r>
        <w:rPr>
          <w:rFonts w:ascii="Times New Roman" w:hAnsi="Times New Roman"/>
          <w:sz w:val="24"/>
          <w:szCs w:val="24"/>
        </w:rPr>
        <w:t>znosu od 1.000,00 kuna ako kao k</w:t>
      </w:r>
      <w:r w:rsidRPr="00DF0EDE">
        <w:rPr>
          <w:rFonts w:ascii="Times New Roman" w:hAnsi="Times New Roman"/>
          <w:sz w:val="24"/>
          <w:szCs w:val="24"/>
        </w:rPr>
        <w:t>orisnik usluge ne postupi po članku 8. i 10. ove Odluke i ako dimnjačarske poslove obavlja protivno odredbi članka 4. ove Odluke.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VI. ZAVRŠNE ODREDBE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605E0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27</w:t>
      </w:r>
      <w:r w:rsidRPr="00DF0EDE">
        <w:rPr>
          <w:rFonts w:ascii="Times New Roman" w:hAnsi="Times New Roman"/>
          <w:b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Stupanjem na snagu ove Odluke prestaje važiti Odluka o ob</w:t>
      </w:r>
      <w:r>
        <w:rPr>
          <w:rFonts w:ascii="Times New Roman" w:hAnsi="Times New Roman"/>
          <w:sz w:val="24"/>
          <w:szCs w:val="24"/>
        </w:rPr>
        <w:t xml:space="preserve">avljanju dimnjačarskih poslova </w:t>
      </w:r>
      <w:r w:rsidRPr="00DF0EDE">
        <w:rPr>
          <w:rFonts w:ascii="Times New Roman" w:hAnsi="Times New Roman"/>
          <w:sz w:val="24"/>
          <w:szCs w:val="24"/>
        </w:rPr>
        <w:t>(»Službene novine Primorsko-goranske županije« br. 25/96.)</w:t>
      </w:r>
      <w:r>
        <w:rPr>
          <w:rFonts w:ascii="Times New Roman" w:hAnsi="Times New Roman"/>
          <w:sz w:val="24"/>
          <w:szCs w:val="24"/>
        </w:rPr>
        <w:t>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rPr>
          <w:rFonts w:ascii="Times New Roman" w:hAnsi="Times New Roman"/>
        </w:rPr>
      </w:pPr>
    </w:p>
    <w:p w:rsidR="00D605E0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71FC5">
        <w:rPr>
          <w:rFonts w:ascii="Times New Roman" w:hAnsi="Times New Roman"/>
          <w:b/>
          <w:sz w:val="24"/>
          <w:szCs w:val="24"/>
        </w:rPr>
        <w:t>Članak 28.</w:t>
      </w:r>
    </w:p>
    <w:p w:rsidR="00D605E0" w:rsidRPr="00571FC5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>Ova Odluka stupa na snagu osmog dana od dana objave u Službenim novinama Grada Bakra.</w:t>
      </w:r>
    </w:p>
    <w:p w:rsidR="00D605E0" w:rsidRPr="00DF0EDE" w:rsidRDefault="00D605E0" w:rsidP="00D605E0">
      <w:pPr>
        <w:pStyle w:val="Bezproreda"/>
        <w:rPr>
          <w:rFonts w:ascii="Times New Roman" w:hAnsi="Times New Roman"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DF0EDE">
        <w:rPr>
          <w:rFonts w:ascii="Times New Roman" w:hAnsi="Times New Roman"/>
          <w:sz w:val="24"/>
          <w:szCs w:val="24"/>
        </w:rPr>
        <w:t xml:space="preserve"> 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GRADSKO VIJEĆE GRADA BAKRA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lastRenderedPageBreak/>
        <w:t>Predsjednik Gradskog vijeća</w:t>
      </w: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605E0" w:rsidRPr="00DF0EDE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965CF" w:rsidRPr="00D605E0" w:rsidRDefault="00D605E0" w:rsidP="00D605E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F0EDE">
        <w:rPr>
          <w:rFonts w:ascii="Times New Roman" w:hAnsi="Times New Roman"/>
          <w:b/>
          <w:sz w:val="24"/>
          <w:szCs w:val="24"/>
        </w:rPr>
        <w:t>Milan Rončević</w:t>
      </w:r>
    </w:p>
    <w:sectPr w:rsidR="006965CF" w:rsidRPr="00D605E0" w:rsidSect="0069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05E0"/>
    <w:rsid w:val="0004694E"/>
    <w:rsid w:val="00495FCB"/>
    <w:rsid w:val="006965CF"/>
    <w:rsid w:val="00BE4238"/>
    <w:rsid w:val="00D6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0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0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5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DavorV</dc:creator>
  <cp:keywords/>
  <dc:description/>
  <cp:lastModifiedBy>DavorV</cp:lastModifiedBy>
  <cp:revision>1</cp:revision>
  <dcterms:created xsi:type="dcterms:W3CDTF">2014-09-15T12:45:00Z</dcterms:created>
  <dcterms:modified xsi:type="dcterms:W3CDTF">2014-09-15T12:46:00Z</dcterms:modified>
</cp:coreProperties>
</file>